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4C3587BA"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CB30A9">
        <w:rPr>
          <w:rFonts w:cs="Arial"/>
          <w:bCs/>
          <w:noProof w:val="0"/>
          <w:sz w:val="24"/>
          <w:szCs w:val="24"/>
        </w:rPr>
        <w:t>5</w:t>
      </w:r>
      <w:r w:rsidR="00044AC7" w:rsidRPr="000665EA">
        <w:rPr>
          <w:rFonts w:cs="Arial"/>
          <w:bCs/>
          <w:noProof w:val="0"/>
          <w:sz w:val="24"/>
          <w:szCs w:val="24"/>
        </w:rPr>
        <w:t>-e</w:t>
      </w:r>
      <w:r w:rsidR="002C1220" w:rsidRPr="000665EA">
        <w:rPr>
          <w:rFonts w:cs="Arial"/>
          <w:bCs/>
          <w:noProof w:val="0"/>
          <w:sz w:val="24"/>
          <w:szCs w:val="24"/>
        </w:rPr>
        <w:tab/>
        <w:t>R3-</w:t>
      </w:r>
      <w:r w:rsidR="00FA4A45" w:rsidRPr="000665EA">
        <w:rPr>
          <w:rFonts w:cs="Arial"/>
          <w:bCs/>
          <w:noProof w:val="0"/>
          <w:sz w:val="24"/>
          <w:szCs w:val="24"/>
        </w:rPr>
        <w:t>2</w:t>
      </w:r>
      <w:r w:rsidR="002E2DA3">
        <w:rPr>
          <w:rFonts w:cs="Arial"/>
          <w:bCs/>
          <w:noProof w:val="0"/>
          <w:sz w:val="24"/>
          <w:szCs w:val="24"/>
        </w:rPr>
        <w:t>2</w:t>
      </w:r>
      <w:r w:rsidR="00A76F29">
        <w:rPr>
          <w:rFonts w:cs="Arial"/>
          <w:bCs/>
          <w:noProof w:val="0"/>
          <w:sz w:val="24"/>
          <w:szCs w:val="24"/>
        </w:rPr>
        <w:t>1758</w:t>
      </w:r>
    </w:p>
    <w:bookmarkEnd w:id="0"/>
    <w:p w14:paraId="5669B020" w14:textId="6D89EF30" w:rsidR="004C654E" w:rsidRPr="000665EA" w:rsidRDefault="00044AC7" w:rsidP="004C654E">
      <w:pPr>
        <w:pStyle w:val="Header"/>
        <w:tabs>
          <w:tab w:val="left" w:pos="2410"/>
        </w:tabs>
        <w:rPr>
          <w:rFonts w:eastAsia="MS Mincho" w:cs="Arial"/>
          <w:sz w:val="24"/>
          <w:szCs w:val="24"/>
        </w:rPr>
      </w:pPr>
      <w:r w:rsidRPr="000665EA">
        <w:rPr>
          <w:rFonts w:eastAsia="MS Mincho" w:cs="Arial"/>
          <w:sz w:val="24"/>
          <w:szCs w:val="24"/>
        </w:rPr>
        <w:t>E-meeting</w:t>
      </w:r>
      <w:r w:rsidR="00FC5FE8" w:rsidRPr="000665EA">
        <w:rPr>
          <w:rFonts w:eastAsia="MS Mincho" w:cs="Arial"/>
          <w:sz w:val="24"/>
          <w:szCs w:val="24"/>
        </w:rPr>
        <w:t xml:space="preserve">, </w:t>
      </w:r>
      <w:r w:rsidR="00CB30A9">
        <w:rPr>
          <w:rFonts w:eastAsia="MS Mincho" w:cs="Arial"/>
          <w:sz w:val="24"/>
          <w:szCs w:val="24"/>
        </w:rPr>
        <w:t>2</w:t>
      </w:r>
      <w:r w:rsidR="00D20DF3">
        <w:rPr>
          <w:rFonts w:eastAsia="MS Mincho" w:cs="Arial"/>
          <w:sz w:val="24"/>
          <w:szCs w:val="24"/>
        </w:rPr>
        <w:t>1</w:t>
      </w:r>
      <w:r w:rsidR="00F36DA6" w:rsidRPr="000665EA">
        <w:rPr>
          <w:rFonts w:eastAsia="MS Mincho" w:cs="Arial"/>
          <w:sz w:val="24"/>
          <w:szCs w:val="24"/>
        </w:rPr>
        <w:t xml:space="preserve"> </w:t>
      </w:r>
      <w:r w:rsidR="00CB30A9">
        <w:rPr>
          <w:rFonts w:eastAsia="MS Mincho" w:cs="Arial"/>
          <w:sz w:val="24"/>
          <w:szCs w:val="24"/>
        </w:rPr>
        <w:t xml:space="preserve">Feb </w:t>
      </w:r>
      <w:r w:rsidR="00477911">
        <w:rPr>
          <w:rFonts w:eastAsia="MS Mincho" w:cs="Arial"/>
          <w:sz w:val="24"/>
          <w:szCs w:val="24"/>
        </w:rPr>
        <w:t xml:space="preserve">– </w:t>
      </w:r>
      <w:r w:rsidR="00CB30A9">
        <w:rPr>
          <w:rFonts w:eastAsia="MS Mincho" w:cs="Arial"/>
          <w:sz w:val="24"/>
          <w:szCs w:val="24"/>
        </w:rPr>
        <w:t>3 Mar</w:t>
      </w:r>
      <w:r w:rsidR="005F10C3" w:rsidRPr="000665EA">
        <w:rPr>
          <w:rFonts w:eastAsia="MS Mincho" w:cs="Arial"/>
          <w:sz w:val="24"/>
          <w:szCs w:val="24"/>
        </w:rPr>
        <w:t xml:space="preserve"> 20</w:t>
      </w:r>
      <w:r w:rsidR="00FA4A45" w:rsidRPr="000665EA">
        <w:rPr>
          <w:rFonts w:eastAsia="MS Mincho" w:cs="Arial"/>
          <w:sz w:val="24"/>
          <w:szCs w:val="24"/>
        </w:rPr>
        <w:t>2</w:t>
      </w:r>
      <w:r w:rsidR="002E2DA3">
        <w:rPr>
          <w:rFonts w:eastAsia="MS Mincho" w:cs="Arial"/>
          <w:sz w:val="24"/>
          <w:szCs w:val="24"/>
        </w:rPr>
        <w:t>2</w:t>
      </w:r>
    </w:p>
    <w:p w14:paraId="2F96B0BD" w14:textId="77777777" w:rsidR="002F2360" w:rsidRPr="000665EA" w:rsidRDefault="002F2360" w:rsidP="002F2360">
      <w:pPr>
        <w:pStyle w:val="Header"/>
        <w:tabs>
          <w:tab w:val="left" w:pos="2410"/>
        </w:tabs>
        <w:rPr>
          <w:bCs/>
          <w:noProof w:val="0"/>
          <w:sz w:val="24"/>
        </w:rPr>
      </w:pPr>
    </w:p>
    <w:p w14:paraId="430718D4" w14:textId="490B682B"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2E2DA3">
        <w:rPr>
          <w:rFonts w:cs="Arial"/>
          <w:b/>
          <w:bCs/>
          <w:sz w:val="24"/>
        </w:rPr>
        <w:t>3</w:t>
      </w:r>
      <w:r w:rsidR="00E74B27">
        <w:rPr>
          <w:rFonts w:cs="Arial"/>
          <w:b/>
          <w:bCs/>
          <w:sz w:val="24"/>
        </w:rPr>
        <w:t>1</w:t>
      </w:r>
      <w:r w:rsidR="002E2DA3">
        <w:rPr>
          <w:rFonts w:cs="Arial"/>
          <w:b/>
          <w:bCs/>
          <w:sz w:val="24"/>
        </w:rPr>
        <w:t>.</w:t>
      </w:r>
      <w:r w:rsidR="00CB30A9">
        <w:rPr>
          <w:rFonts w:cs="Arial"/>
          <w:b/>
          <w:bCs/>
          <w:sz w:val="24"/>
        </w:rPr>
        <w:t>2.5</w:t>
      </w:r>
    </w:p>
    <w:p w14:paraId="02505283" w14:textId="17BC03D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r w:rsidR="00FC005E">
        <w:rPr>
          <w:rFonts w:ascii="Arial" w:hAnsi="Arial" w:cs="Arial"/>
          <w:b/>
          <w:bCs/>
          <w:sz w:val="24"/>
        </w:rPr>
        <w:t>, CMCC</w:t>
      </w:r>
      <w:r w:rsidR="00B1181F">
        <w:rPr>
          <w:rFonts w:ascii="Arial" w:hAnsi="Arial" w:cs="Arial"/>
          <w:b/>
          <w:bCs/>
          <w:sz w:val="24"/>
        </w:rPr>
        <w:t>, Vodafone</w:t>
      </w:r>
    </w:p>
    <w:p w14:paraId="5E7A28BB" w14:textId="2C130960"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E74B27">
        <w:rPr>
          <w:rFonts w:ascii="Arial" w:hAnsi="Arial" w:cs="Arial"/>
          <w:b/>
          <w:bCs/>
          <w:sz w:val="24"/>
        </w:rPr>
        <w:t>CHO with SCG configuration</w:t>
      </w:r>
      <w:r w:rsidR="002E2DA3">
        <w:rPr>
          <w:rFonts w:ascii="Arial" w:hAnsi="Arial" w:cs="Arial"/>
          <w:b/>
          <w:bCs/>
          <w:sz w:val="24"/>
        </w:rPr>
        <w:t xml:space="preserve"> kept at the target</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13E572B3" w14:textId="5A8C683E" w:rsidR="00723730" w:rsidRPr="000665EA" w:rsidRDefault="00E74B27" w:rsidP="00E74B27">
      <w:bookmarkStart w:id="1" w:name="_Toc474247438"/>
      <w:r>
        <w:t>At RAN3 #11</w:t>
      </w:r>
      <w:r w:rsidR="002E2DA3">
        <w:t>4</w:t>
      </w:r>
      <w:r>
        <w:t xml:space="preserve">, </w:t>
      </w:r>
      <w:r w:rsidR="002E2DA3">
        <w:t xml:space="preserve">the work on enabling CHO with Dc configuration at the target started for Rel.17. It has been identified that the CHO indicator is needed. RAN3 also agreed to analyse the option enabling resource optimisation at the target SN. </w:t>
      </w:r>
      <w:r w:rsidR="00723730">
        <w:t xml:space="preserve">In this paper, we </w:t>
      </w:r>
      <w:r w:rsidR="002E2DA3">
        <w:t>address mainly the latter topic</w:t>
      </w:r>
      <w:r w:rsidR="00723730">
        <w:t>.</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082E499F" w14:textId="630C6D88" w:rsidR="008B09E0" w:rsidRDefault="008B09E0" w:rsidP="008B09E0">
      <w:pPr>
        <w:pStyle w:val="Heading2"/>
      </w:pPr>
      <w:r>
        <w:t>2.</w:t>
      </w:r>
      <w:r w:rsidR="005A6F2C">
        <w:t>1</w:t>
      </w:r>
      <w:r>
        <w:tab/>
      </w:r>
      <w:r w:rsidR="005A6F2C">
        <w:t>The CHO flag</w:t>
      </w:r>
    </w:p>
    <w:p w14:paraId="17188F99" w14:textId="428FC907" w:rsidR="008B09E0" w:rsidRDefault="008B09E0" w:rsidP="008B09E0">
      <w:r>
        <w:t xml:space="preserve">The indication will be very easy to enable: a simple flag is needed to inform the SN that the Addition is related to a conditional (delayed) preparation. But before we propose the flag to be used, we would like to compare the situation related to the CHO with MR-DC and the CPA, which is being developed in another WI in Rel.17. The most critical feature, </w:t>
      </w:r>
      <w:proofErr w:type="gramStart"/>
      <w:r>
        <w:t>i.e.</w:t>
      </w:r>
      <w:proofErr w:type="gramEnd"/>
      <w:r>
        <w:t xml:space="preserve"> late arrival of the UE, if ever, is the same in both cases. Therefore, the basic flag considered for CHO-related Addition may be defined so that it can be reused for CPA.</w:t>
      </w:r>
    </w:p>
    <w:p w14:paraId="211FEFBB" w14:textId="36E4442A" w:rsidR="005A6F2C" w:rsidRDefault="005A6F2C" w:rsidP="008B09E0">
      <w:r>
        <w:t>Originally, we considered that the flag can be the same as the one defined for CPA. However, differences seem to increase, therefore a separate flag may be better.</w:t>
      </w:r>
    </w:p>
    <w:p w14:paraId="6E17BF8B" w14:textId="6254B143" w:rsidR="007C66A5" w:rsidRDefault="007C66A5" w:rsidP="008B09E0">
      <w:r>
        <w:t>Also, at RAN3 #114, it was agreed that the flag is needed in the Modification preparation procedure, too, to address intra-MN CHO.</w:t>
      </w:r>
    </w:p>
    <w:p w14:paraId="2449B0C2" w14:textId="11F2B5A0" w:rsidR="008B09E0" w:rsidRPr="00273C00" w:rsidRDefault="008B09E0" w:rsidP="008B09E0">
      <w:pPr>
        <w:rPr>
          <w:b/>
          <w:bCs/>
        </w:rPr>
      </w:pPr>
      <w:r w:rsidRPr="00273C00">
        <w:rPr>
          <w:b/>
          <w:bCs/>
        </w:rPr>
        <w:t xml:space="preserve">Proposal </w:t>
      </w:r>
      <w:r w:rsidR="005A6F2C">
        <w:rPr>
          <w:b/>
          <w:bCs/>
        </w:rPr>
        <w:t>1</w:t>
      </w:r>
      <w:r w:rsidRPr="00273C00">
        <w:rPr>
          <w:b/>
          <w:bCs/>
        </w:rPr>
        <w:t xml:space="preserve">: A </w:t>
      </w:r>
      <w:r w:rsidR="005A6F2C">
        <w:rPr>
          <w:b/>
          <w:bCs/>
        </w:rPr>
        <w:t xml:space="preserve">separate CHO-related </w:t>
      </w:r>
      <w:r w:rsidRPr="00273C00">
        <w:rPr>
          <w:b/>
          <w:bCs/>
        </w:rPr>
        <w:t xml:space="preserve">flag is added in the Addition Request </w:t>
      </w:r>
      <w:r w:rsidR="007C66A5">
        <w:rPr>
          <w:b/>
          <w:bCs/>
        </w:rPr>
        <w:t xml:space="preserve">and in the Modification Request </w:t>
      </w:r>
      <w:r w:rsidRPr="00273C00">
        <w:rPr>
          <w:b/>
          <w:bCs/>
        </w:rPr>
        <w:t xml:space="preserve">to indicate the addition is related to a </w:t>
      </w:r>
      <w:r w:rsidR="005A6F2C">
        <w:rPr>
          <w:b/>
          <w:bCs/>
        </w:rPr>
        <w:t>CHO</w:t>
      </w:r>
      <w:r w:rsidRPr="00273C00">
        <w:rPr>
          <w:b/>
          <w:bCs/>
        </w:rPr>
        <w:t>.</w:t>
      </w:r>
    </w:p>
    <w:p w14:paraId="644B50E7" w14:textId="53B09899" w:rsidR="005A6F2C" w:rsidRDefault="005A6F2C" w:rsidP="005A6F2C">
      <w:pPr>
        <w:pStyle w:val="Heading2"/>
      </w:pPr>
      <w:r>
        <w:t>2.2</w:t>
      </w:r>
      <w:r>
        <w:tab/>
        <w:t>Resource optimisation at the target SN</w:t>
      </w:r>
    </w:p>
    <w:p w14:paraId="3A0EC397" w14:textId="6A085082" w:rsidR="008B09E0" w:rsidRDefault="008B09E0" w:rsidP="008B09E0">
      <w:r>
        <w:t xml:space="preserve">The solution </w:t>
      </w:r>
      <w:r w:rsidR="00420EB9">
        <w:t xml:space="preserve">to avoid overbooking </w:t>
      </w:r>
      <w:r>
        <w:t>is less straightforward. At a basic level, it can be helped with the arrival probability, as defined for CHO. The target MN could simply rely the information received from the source MN – since the SCG access is executed when the main CHO condition is met, the probability of SCG access is the same as for the CHO.</w:t>
      </w:r>
    </w:p>
    <w:p w14:paraId="63724BC6" w14:textId="3A4D6784" w:rsidR="008B09E0" w:rsidRPr="00273C00" w:rsidRDefault="008B09E0" w:rsidP="008B09E0">
      <w:pPr>
        <w:rPr>
          <w:b/>
          <w:bCs/>
        </w:rPr>
      </w:pPr>
      <w:r w:rsidRPr="00273C00">
        <w:rPr>
          <w:b/>
          <w:bCs/>
        </w:rPr>
        <w:t xml:space="preserve">Proposal </w:t>
      </w:r>
      <w:r w:rsidR="002B2385">
        <w:rPr>
          <w:b/>
          <w:bCs/>
        </w:rPr>
        <w:t>2</w:t>
      </w:r>
      <w:r w:rsidRPr="00273C00">
        <w:rPr>
          <w:b/>
          <w:bCs/>
        </w:rPr>
        <w:t xml:space="preserve">: </w:t>
      </w:r>
      <w:r>
        <w:rPr>
          <w:b/>
          <w:bCs/>
        </w:rPr>
        <w:t>The arrival probability is defined also for the Addition Request and the target MN is obliged to rely the information received from the source MN.</w:t>
      </w:r>
    </w:p>
    <w:p w14:paraId="7F6EA1CF" w14:textId="55D3BBE3" w:rsidR="00762439" w:rsidRDefault="008B09E0" w:rsidP="008B09E0">
      <w:r>
        <w:t xml:space="preserve">However, </w:t>
      </w:r>
      <w:r w:rsidR="00420EB9">
        <w:t xml:space="preserve">it does not help to avoid overbooking for the same UE. </w:t>
      </w:r>
      <w:r w:rsidR="00762439">
        <w:t>The problem is that CHO may be prepared in different target MNs, which may then prepare the same SN. However, the SN will not know the preparations concern the same UE and thus only one of them will effectively be executed. It will then prepare separate resources for all Additions, or will have to reject some, if there are not enough resource for all. This is presented in the figure below:</w:t>
      </w:r>
    </w:p>
    <w:p w14:paraId="24E60495" w14:textId="7735D35B" w:rsidR="00762439" w:rsidRDefault="00CC7069" w:rsidP="00762439">
      <w:pPr>
        <w:jc w:val="center"/>
      </w:pPr>
      <w:r>
        <w:object w:dxaOrig="9001" w:dyaOrig="6002" w14:anchorId="13821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2pt;height:202.8pt" o:ole="">
            <v:imagedata r:id="rId14" o:title=""/>
          </v:shape>
          <o:OLEObject Type="Embed" ProgID="Visio.Drawing.15" ShapeID="_x0000_i1025" DrawAspect="Content" ObjectID="_1706017605" r:id="rId15"/>
        </w:object>
      </w:r>
    </w:p>
    <w:p w14:paraId="32D1D58E" w14:textId="480EEB88" w:rsidR="008B09E0" w:rsidRDefault="00420EB9" w:rsidP="008B09E0">
      <w:proofErr w:type="gramStart"/>
      <w:r>
        <w:t>I</w:t>
      </w:r>
      <w:r w:rsidR="008B09E0">
        <w:t>n order to</w:t>
      </w:r>
      <w:proofErr w:type="gramEnd"/>
      <w:r w:rsidR="008B09E0">
        <w:t xml:space="preserve"> enable identification of the requests as coming from the same UE, some form of the identification of the UE is needed. For addition requests coming from a single target MN, that MN may assign the identification (</w:t>
      </w:r>
      <w:proofErr w:type="gramStart"/>
      <w:r w:rsidR="008B09E0">
        <w:t>e.g.</w:t>
      </w:r>
      <w:proofErr w:type="gramEnd"/>
      <w:r w:rsidR="008B09E0">
        <w:t xml:space="preserve"> a random number). However, in case the addition requests to the same target SN come from different target MNs, the situation gets complicated: the only common point where the identification could be defined is either the UE itself, or the source MN, or possibly the source SN (if configured). One may therefore consider:</w:t>
      </w:r>
    </w:p>
    <w:p w14:paraId="36FA6E45" w14:textId="77777777" w:rsidR="008B09E0" w:rsidRDefault="008B09E0" w:rsidP="008B09E0">
      <w:pPr>
        <w:pStyle w:val="ListParagraph"/>
        <w:numPr>
          <w:ilvl w:val="0"/>
          <w:numId w:val="42"/>
        </w:numPr>
      </w:pPr>
      <w:r>
        <w:t>Adding a random number allocated at the source MN; or</w:t>
      </w:r>
    </w:p>
    <w:p w14:paraId="4065240F" w14:textId="77777777" w:rsidR="008B09E0" w:rsidRDefault="008B09E0" w:rsidP="008B09E0">
      <w:pPr>
        <w:pStyle w:val="ListParagraph"/>
        <w:numPr>
          <w:ilvl w:val="0"/>
          <w:numId w:val="42"/>
        </w:numPr>
      </w:pPr>
      <w:r>
        <w:t>Adding a combination of the source MN’s ID and the UE ID used in the source MN; or</w:t>
      </w:r>
    </w:p>
    <w:p w14:paraId="032528DF" w14:textId="03356CA0" w:rsidR="008B09E0" w:rsidRDefault="008B09E0" w:rsidP="008B09E0">
      <w:pPr>
        <w:pStyle w:val="ListParagraph"/>
        <w:numPr>
          <w:ilvl w:val="0"/>
          <w:numId w:val="42"/>
        </w:numPr>
      </w:pPr>
      <w:r>
        <w:t>Reusing the source SN’s UE ID and adding the source SN’s ID.</w:t>
      </w:r>
    </w:p>
    <w:p w14:paraId="3394E45B" w14:textId="4F780072" w:rsidR="00420EB9" w:rsidRDefault="00420EB9" w:rsidP="00420EB9">
      <w:r>
        <w:t>Of these three possibilities, the 2</w:t>
      </w:r>
      <w:r w:rsidRPr="00420EB9">
        <w:rPr>
          <w:vertAlign w:val="superscript"/>
        </w:rPr>
        <w:t>nd</w:t>
      </w:r>
      <w:r>
        <w:t xml:space="preserve"> one seems the most universal: it helps identify the UE also if it was not configured with DC in the source MN. </w:t>
      </w:r>
    </w:p>
    <w:p w14:paraId="49B5EFB4" w14:textId="79F9AEBD" w:rsidR="002B2385" w:rsidRDefault="002B2385" w:rsidP="00420EB9">
      <w:r>
        <w:t xml:space="preserve">It can be noted though, that the above concerns inter-MN CHO only. In case of an intra-MN CHO, the communication between the MN and the SN is UE-associated, so the SN already knows it concerns the same UE. </w:t>
      </w:r>
    </w:p>
    <w:p w14:paraId="21DFDFE4" w14:textId="7E7D662E" w:rsidR="008B09E0" w:rsidRDefault="008B09E0" w:rsidP="00604B9F">
      <w:r w:rsidRPr="00273C00">
        <w:rPr>
          <w:b/>
          <w:bCs/>
        </w:rPr>
        <w:t xml:space="preserve">Proposal </w:t>
      </w:r>
      <w:r w:rsidR="00A76F29">
        <w:rPr>
          <w:b/>
          <w:bCs/>
        </w:rPr>
        <w:t>3</w:t>
      </w:r>
      <w:r w:rsidRPr="00273C00">
        <w:rPr>
          <w:b/>
          <w:bCs/>
        </w:rPr>
        <w:t xml:space="preserve">: RAN3 shall </w:t>
      </w:r>
      <w:r w:rsidR="00420EB9">
        <w:rPr>
          <w:b/>
          <w:bCs/>
        </w:rPr>
        <w:t xml:space="preserve">consider if using the source MN’s ID and the UE ID in the source MN can help </w:t>
      </w:r>
      <w:r w:rsidR="00810BB8">
        <w:rPr>
          <w:b/>
          <w:bCs/>
        </w:rPr>
        <w:t>to identify the same UE and avoid booking resources for it again</w:t>
      </w:r>
      <w:r w:rsidR="002B2385">
        <w:rPr>
          <w:b/>
          <w:bCs/>
        </w:rPr>
        <w:t xml:space="preserve"> in case of the Addition procedure</w:t>
      </w:r>
      <w:r w:rsidR="00810BB8">
        <w:rPr>
          <w:b/>
          <w:bCs/>
        </w:rPr>
        <w:t>.</w:t>
      </w:r>
    </w:p>
    <w:p w14:paraId="28E42E52" w14:textId="77777777" w:rsidR="000F16C4" w:rsidRPr="000665EA" w:rsidRDefault="00CD2620" w:rsidP="00E00CEF">
      <w:pPr>
        <w:pStyle w:val="Heading1"/>
      </w:pPr>
      <w:r w:rsidRPr="000665EA">
        <w:t>3</w:t>
      </w:r>
      <w:r w:rsidR="000F16C4" w:rsidRPr="000665EA">
        <w:tab/>
      </w:r>
      <w:r w:rsidRPr="000665EA">
        <w:t>Conclusions</w:t>
      </w:r>
    </w:p>
    <w:p w14:paraId="1EDB01A3" w14:textId="7FAF09F9" w:rsidR="002F4257" w:rsidRDefault="002F4257" w:rsidP="00D20DF3">
      <w:pPr>
        <w:jc w:val="both"/>
        <w:rPr>
          <w:bCs/>
        </w:rPr>
      </w:pPr>
      <w:r>
        <w:rPr>
          <w:bCs/>
        </w:rPr>
        <w:t xml:space="preserve">In this paper, </w:t>
      </w:r>
      <w:r w:rsidR="00A745DF">
        <w:rPr>
          <w:bCs/>
        </w:rPr>
        <w:t xml:space="preserve">we address the issue of CHO with DC. </w:t>
      </w:r>
      <w:r w:rsidR="00A76F29">
        <w:rPr>
          <w:bCs/>
        </w:rPr>
        <w:t>W</w:t>
      </w:r>
      <w:r w:rsidR="00A745DF">
        <w:rPr>
          <w:bCs/>
        </w:rPr>
        <w:t>e make following propo</w:t>
      </w:r>
      <w:r w:rsidR="00ED314C">
        <w:rPr>
          <w:bCs/>
        </w:rPr>
        <w:t>s</w:t>
      </w:r>
      <w:r w:rsidR="00A745DF">
        <w:rPr>
          <w:bCs/>
        </w:rPr>
        <w:t>als:</w:t>
      </w:r>
    </w:p>
    <w:p w14:paraId="5F1323BE" w14:textId="1915E41F" w:rsidR="00A76F29" w:rsidRPr="00273C00" w:rsidRDefault="00A76F29" w:rsidP="00A76F29">
      <w:pPr>
        <w:rPr>
          <w:b/>
          <w:bCs/>
        </w:rPr>
      </w:pPr>
      <w:r w:rsidRPr="00273C00">
        <w:rPr>
          <w:b/>
          <w:bCs/>
        </w:rPr>
        <w:t xml:space="preserve">Proposal </w:t>
      </w:r>
      <w:r>
        <w:rPr>
          <w:b/>
          <w:bCs/>
        </w:rPr>
        <w:t>1</w:t>
      </w:r>
      <w:r w:rsidRPr="00273C00">
        <w:rPr>
          <w:b/>
          <w:bCs/>
        </w:rPr>
        <w:t xml:space="preserve">: A </w:t>
      </w:r>
      <w:r>
        <w:rPr>
          <w:b/>
          <w:bCs/>
        </w:rPr>
        <w:t xml:space="preserve">separate CHO-related </w:t>
      </w:r>
      <w:r w:rsidRPr="00273C00">
        <w:rPr>
          <w:b/>
          <w:bCs/>
        </w:rPr>
        <w:t xml:space="preserve">flag is added in the Addition Request </w:t>
      </w:r>
      <w:r>
        <w:rPr>
          <w:b/>
          <w:bCs/>
        </w:rPr>
        <w:t xml:space="preserve">and in the Modification Request </w:t>
      </w:r>
      <w:r w:rsidRPr="00273C00">
        <w:rPr>
          <w:b/>
          <w:bCs/>
        </w:rPr>
        <w:t xml:space="preserve">to indicate the addition is related to a </w:t>
      </w:r>
      <w:r>
        <w:rPr>
          <w:b/>
          <w:bCs/>
        </w:rPr>
        <w:t>CHO</w:t>
      </w:r>
      <w:r w:rsidRPr="00273C00">
        <w:rPr>
          <w:b/>
          <w:bCs/>
        </w:rPr>
        <w:t>.</w:t>
      </w:r>
    </w:p>
    <w:p w14:paraId="7C4F18D8" w14:textId="7F0F3208" w:rsidR="00A76F29" w:rsidRPr="00273C00" w:rsidRDefault="00A76F29" w:rsidP="00A76F29">
      <w:pPr>
        <w:rPr>
          <w:b/>
          <w:bCs/>
        </w:rPr>
      </w:pPr>
      <w:r w:rsidRPr="00273C00">
        <w:rPr>
          <w:b/>
          <w:bCs/>
        </w:rPr>
        <w:t xml:space="preserve">Proposal </w:t>
      </w:r>
      <w:r>
        <w:rPr>
          <w:b/>
          <w:bCs/>
        </w:rPr>
        <w:t>2</w:t>
      </w:r>
      <w:r w:rsidRPr="00273C00">
        <w:rPr>
          <w:b/>
          <w:bCs/>
        </w:rPr>
        <w:t xml:space="preserve">: </w:t>
      </w:r>
      <w:r>
        <w:rPr>
          <w:b/>
          <w:bCs/>
        </w:rPr>
        <w:t>The arrival probability is defined also for the Addition Request and the target MN is obliged to rely the information received from the source MN.</w:t>
      </w:r>
    </w:p>
    <w:p w14:paraId="01791B19" w14:textId="54B7265F" w:rsidR="00A76F29" w:rsidRDefault="00A76F29" w:rsidP="00A76F29">
      <w:r w:rsidRPr="00273C00">
        <w:rPr>
          <w:b/>
          <w:bCs/>
        </w:rPr>
        <w:t xml:space="preserve">Proposal </w:t>
      </w:r>
      <w:r>
        <w:rPr>
          <w:b/>
          <w:bCs/>
        </w:rPr>
        <w:t>3</w:t>
      </w:r>
      <w:r w:rsidRPr="00273C00">
        <w:rPr>
          <w:b/>
          <w:bCs/>
        </w:rPr>
        <w:t xml:space="preserve">: RAN3 shall </w:t>
      </w:r>
      <w:r>
        <w:rPr>
          <w:b/>
          <w:bCs/>
        </w:rPr>
        <w:t>consider if using the source MN’s ID and the UE ID in the source MN can help to identify the same UE and avoid booking resources for it again in case of the Addition procedure.</w:t>
      </w:r>
    </w:p>
    <w:p w14:paraId="21A337AF" w14:textId="77D539A6" w:rsidR="002F4257" w:rsidRPr="000665EA" w:rsidRDefault="002F4257" w:rsidP="006A43F7">
      <w:pPr>
        <w:jc w:val="both"/>
        <w:rPr>
          <w:bCs/>
        </w:rPr>
      </w:pPr>
      <w:r>
        <w:rPr>
          <w:bCs/>
        </w:rPr>
        <w:t xml:space="preserve">The </w:t>
      </w:r>
      <w:r w:rsidR="00A76F29">
        <w:rPr>
          <w:bCs/>
        </w:rPr>
        <w:t>CR</w:t>
      </w:r>
      <w:r>
        <w:rPr>
          <w:bCs/>
        </w:rPr>
        <w:t>s implementing the solution are proposed in [</w:t>
      </w:r>
      <w:r w:rsidR="00A76F29">
        <w:rPr>
          <w:bCs/>
        </w:rPr>
        <w:t>1</w:t>
      </w:r>
      <w:r>
        <w:rPr>
          <w:bCs/>
        </w:rPr>
        <w:t>] and [</w:t>
      </w:r>
      <w:r w:rsidR="00A76F29">
        <w:rPr>
          <w:bCs/>
        </w:rPr>
        <w:t>2</w:t>
      </w:r>
      <w:r>
        <w:rPr>
          <w:bCs/>
        </w:rPr>
        <w:t>].</w:t>
      </w:r>
      <w:r w:rsidR="007707B3">
        <w:rPr>
          <w:bCs/>
        </w:rPr>
        <w:t xml:space="preserve"> Draft response is proposed in [</w:t>
      </w:r>
      <w:r w:rsidR="00A76F29">
        <w:rPr>
          <w:bCs/>
        </w:rPr>
        <w:t>3</w:t>
      </w:r>
      <w:r w:rsidR="007707B3">
        <w:rPr>
          <w:bCs/>
        </w:rPr>
        <w:t>].</w:t>
      </w:r>
    </w:p>
    <w:p w14:paraId="483F8717" w14:textId="77777777" w:rsidR="00403B9B" w:rsidRPr="000665EA" w:rsidRDefault="00403B9B" w:rsidP="00403B9B">
      <w:pPr>
        <w:pStyle w:val="Heading1"/>
      </w:pPr>
      <w:r w:rsidRPr="000665EA">
        <w:t>References</w:t>
      </w:r>
    </w:p>
    <w:p w14:paraId="0679D930" w14:textId="3C5C8617" w:rsidR="007707B3" w:rsidRPr="000665EA" w:rsidRDefault="00BA43F1" w:rsidP="007707B3">
      <w:pPr>
        <w:numPr>
          <w:ilvl w:val="0"/>
          <w:numId w:val="4"/>
        </w:numPr>
        <w:overflowPunct w:val="0"/>
        <w:autoSpaceDE w:val="0"/>
        <w:autoSpaceDN w:val="0"/>
        <w:adjustRightInd w:val="0"/>
        <w:textAlignment w:val="baseline"/>
      </w:pPr>
      <w:r>
        <w:t>R3-221759, RAN3 #115</w:t>
      </w:r>
    </w:p>
    <w:p w14:paraId="7F3BAA10" w14:textId="2F89F011" w:rsidR="00BA43F1" w:rsidRPr="000665EA" w:rsidRDefault="00BA43F1" w:rsidP="00BA43F1">
      <w:pPr>
        <w:numPr>
          <w:ilvl w:val="0"/>
          <w:numId w:val="4"/>
        </w:numPr>
        <w:overflowPunct w:val="0"/>
        <w:autoSpaceDE w:val="0"/>
        <w:autoSpaceDN w:val="0"/>
        <w:adjustRightInd w:val="0"/>
        <w:textAlignment w:val="baseline"/>
      </w:pPr>
      <w:r>
        <w:t>R3-2217</w:t>
      </w:r>
      <w:r>
        <w:t>60</w:t>
      </w:r>
      <w:r>
        <w:t>, RAN3 #115</w:t>
      </w:r>
    </w:p>
    <w:p w14:paraId="6BC2ADF8" w14:textId="0983A2DD" w:rsidR="00BA43F1" w:rsidRPr="000665EA" w:rsidRDefault="00BA43F1" w:rsidP="00BA43F1">
      <w:pPr>
        <w:numPr>
          <w:ilvl w:val="0"/>
          <w:numId w:val="4"/>
        </w:numPr>
        <w:overflowPunct w:val="0"/>
        <w:autoSpaceDE w:val="0"/>
        <w:autoSpaceDN w:val="0"/>
        <w:adjustRightInd w:val="0"/>
        <w:textAlignment w:val="baseline"/>
      </w:pPr>
      <w:r>
        <w:t>R3-2217</w:t>
      </w:r>
      <w:r>
        <w:t>61</w:t>
      </w:r>
      <w:r>
        <w:t>, RAN3 #115</w:t>
      </w: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3CAA4D" w14:textId="77777777" w:rsidR="00A56CE4" w:rsidRDefault="00A56CE4">
      <w:r>
        <w:separator/>
      </w:r>
    </w:p>
  </w:endnote>
  <w:endnote w:type="continuationSeparator" w:id="0">
    <w:p w14:paraId="20B176A0" w14:textId="77777777" w:rsidR="00A56CE4" w:rsidRDefault="00A56CE4">
      <w:r>
        <w:continuationSeparator/>
      </w:r>
    </w:p>
  </w:endnote>
  <w:endnote w:type="continuationNotice" w:id="1">
    <w:p w14:paraId="272D2FDB" w14:textId="77777777" w:rsidR="00A56CE4" w:rsidRDefault="00A56C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1A7F64" w14:textId="77777777" w:rsidR="00A56CE4" w:rsidRDefault="00A56CE4">
      <w:r>
        <w:separator/>
      </w:r>
    </w:p>
  </w:footnote>
  <w:footnote w:type="continuationSeparator" w:id="0">
    <w:p w14:paraId="28FABE81" w14:textId="77777777" w:rsidR="00A56CE4" w:rsidRDefault="00A56CE4">
      <w:r>
        <w:continuationSeparator/>
      </w:r>
    </w:p>
  </w:footnote>
  <w:footnote w:type="continuationNotice" w:id="1">
    <w:p w14:paraId="44E6A7B5" w14:textId="77777777" w:rsidR="00A56CE4" w:rsidRDefault="00A56C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BD76BE"/>
    <w:multiLevelType w:val="hybridMultilevel"/>
    <w:tmpl w:val="6CAEC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5E1275"/>
    <w:multiLevelType w:val="hybridMultilevel"/>
    <w:tmpl w:val="02B4288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0E1A22A4"/>
    <w:multiLevelType w:val="hybridMultilevel"/>
    <w:tmpl w:val="69F67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8"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0"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3"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2"/>
  </w:num>
  <w:num w:numId="2">
    <w:abstractNumId w:val="32"/>
  </w:num>
  <w:num w:numId="3">
    <w:abstractNumId w:val="17"/>
  </w:num>
  <w:num w:numId="4">
    <w:abstractNumId w:val="9"/>
  </w:num>
  <w:num w:numId="5">
    <w:abstractNumId w:val="10"/>
  </w:num>
  <w:num w:numId="6">
    <w:abstractNumId w:val="40"/>
  </w:num>
  <w:num w:numId="7">
    <w:abstractNumId w:val="27"/>
  </w:num>
  <w:num w:numId="8">
    <w:abstractNumId w:val="18"/>
  </w:num>
  <w:num w:numId="9">
    <w:abstractNumId w:val="39"/>
  </w:num>
  <w:num w:numId="10">
    <w:abstractNumId w:val="26"/>
  </w:num>
  <w:num w:numId="11">
    <w:abstractNumId w:val="16"/>
  </w:num>
  <w:num w:numId="12">
    <w:abstractNumId w:val="34"/>
  </w:num>
  <w:num w:numId="13">
    <w:abstractNumId w:val="35"/>
  </w:num>
  <w:num w:numId="14">
    <w:abstractNumId w:val="33"/>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1"/>
  </w:num>
  <w:num w:numId="25">
    <w:abstractNumId w:val="29"/>
  </w:num>
  <w:num w:numId="26">
    <w:abstractNumId w:val="19"/>
  </w:num>
  <w:num w:numId="27">
    <w:abstractNumId w:val="23"/>
  </w:num>
  <w:num w:numId="28">
    <w:abstractNumId w:val="37"/>
  </w:num>
  <w:num w:numId="29">
    <w:abstractNumId w:val="38"/>
  </w:num>
  <w:num w:numId="30">
    <w:abstractNumId w:val="28"/>
  </w:num>
  <w:num w:numId="31">
    <w:abstractNumId w:val="25"/>
  </w:num>
  <w:num w:numId="32">
    <w:abstractNumId w:val="20"/>
  </w:num>
  <w:num w:numId="33">
    <w:abstractNumId w:val="30"/>
  </w:num>
  <w:num w:numId="34">
    <w:abstractNumId w:val="15"/>
  </w:num>
  <w:num w:numId="35">
    <w:abstractNumId w:val="13"/>
  </w:num>
  <w:num w:numId="36">
    <w:abstractNumId w:val="36"/>
  </w:num>
  <w:num w:numId="37">
    <w:abstractNumId w:val="24"/>
  </w:num>
  <w:num w:numId="38">
    <w:abstractNumId w:val="31"/>
  </w:num>
  <w:num w:numId="39">
    <w:abstractNumId w:val="41"/>
  </w:num>
  <w:num w:numId="40">
    <w:abstractNumId w:val="11"/>
  </w:num>
  <w:num w:numId="41">
    <w:abstractNumId w:val="12"/>
  </w:num>
  <w:num w:numId="42">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146"/>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2385"/>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2DA3"/>
    <w:rsid w:val="002E3237"/>
    <w:rsid w:val="002E4FF6"/>
    <w:rsid w:val="002E57E8"/>
    <w:rsid w:val="002E66E8"/>
    <w:rsid w:val="002E6CDE"/>
    <w:rsid w:val="002F0C0B"/>
    <w:rsid w:val="002F0C28"/>
    <w:rsid w:val="002F0D22"/>
    <w:rsid w:val="002F1207"/>
    <w:rsid w:val="002F2360"/>
    <w:rsid w:val="002F2626"/>
    <w:rsid w:val="002F3A38"/>
    <w:rsid w:val="002F4257"/>
    <w:rsid w:val="002F59E9"/>
    <w:rsid w:val="002F6EDD"/>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4E3"/>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2823"/>
    <w:rsid w:val="0041566D"/>
    <w:rsid w:val="004168D2"/>
    <w:rsid w:val="00420701"/>
    <w:rsid w:val="00420EB9"/>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974FA"/>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48E0"/>
    <w:rsid w:val="005759A2"/>
    <w:rsid w:val="00576820"/>
    <w:rsid w:val="0058588B"/>
    <w:rsid w:val="00586F17"/>
    <w:rsid w:val="0059146F"/>
    <w:rsid w:val="00591568"/>
    <w:rsid w:val="00592B81"/>
    <w:rsid w:val="00593957"/>
    <w:rsid w:val="00596A09"/>
    <w:rsid w:val="00597653"/>
    <w:rsid w:val="005A0389"/>
    <w:rsid w:val="005A1D77"/>
    <w:rsid w:val="005A276A"/>
    <w:rsid w:val="005A3223"/>
    <w:rsid w:val="005A3AF8"/>
    <w:rsid w:val="005A669D"/>
    <w:rsid w:val="005A6F2C"/>
    <w:rsid w:val="005B01C6"/>
    <w:rsid w:val="005B021A"/>
    <w:rsid w:val="005B0915"/>
    <w:rsid w:val="005B1232"/>
    <w:rsid w:val="005B1D3C"/>
    <w:rsid w:val="005B34D8"/>
    <w:rsid w:val="005B4DEE"/>
    <w:rsid w:val="005B6646"/>
    <w:rsid w:val="005C1021"/>
    <w:rsid w:val="005C16A8"/>
    <w:rsid w:val="005C7B8F"/>
    <w:rsid w:val="005D53D9"/>
    <w:rsid w:val="005D588C"/>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4B9F"/>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360D"/>
    <w:rsid w:val="00696C2A"/>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3730"/>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439"/>
    <w:rsid w:val="0076250D"/>
    <w:rsid w:val="00762711"/>
    <w:rsid w:val="00765BA8"/>
    <w:rsid w:val="00765E5A"/>
    <w:rsid w:val="007707B3"/>
    <w:rsid w:val="007709F9"/>
    <w:rsid w:val="00772865"/>
    <w:rsid w:val="00772E0E"/>
    <w:rsid w:val="00775318"/>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C66A5"/>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0BB8"/>
    <w:rsid w:val="008120E4"/>
    <w:rsid w:val="00813CDA"/>
    <w:rsid w:val="0081452D"/>
    <w:rsid w:val="008176B8"/>
    <w:rsid w:val="00820849"/>
    <w:rsid w:val="008218C2"/>
    <w:rsid w:val="00824626"/>
    <w:rsid w:val="008275F5"/>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09E0"/>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9D6"/>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2355"/>
    <w:rsid w:val="00984571"/>
    <w:rsid w:val="00985308"/>
    <w:rsid w:val="009876A5"/>
    <w:rsid w:val="0099180C"/>
    <w:rsid w:val="00993BBC"/>
    <w:rsid w:val="0099493E"/>
    <w:rsid w:val="00995169"/>
    <w:rsid w:val="00997D92"/>
    <w:rsid w:val="009A0088"/>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6CE4"/>
    <w:rsid w:val="00A5718E"/>
    <w:rsid w:val="00A57826"/>
    <w:rsid w:val="00A57B79"/>
    <w:rsid w:val="00A61B7E"/>
    <w:rsid w:val="00A62A12"/>
    <w:rsid w:val="00A63CB9"/>
    <w:rsid w:val="00A647F3"/>
    <w:rsid w:val="00A6558F"/>
    <w:rsid w:val="00A657F4"/>
    <w:rsid w:val="00A6608F"/>
    <w:rsid w:val="00A66275"/>
    <w:rsid w:val="00A702F5"/>
    <w:rsid w:val="00A71E3A"/>
    <w:rsid w:val="00A72C6C"/>
    <w:rsid w:val="00A72D08"/>
    <w:rsid w:val="00A745DF"/>
    <w:rsid w:val="00A74793"/>
    <w:rsid w:val="00A74944"/>
    <w:rsid w:val="00A74BC8"/>
    <w:rsid w:val="00A76F29"/>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AF6C25"/>
    <w:rsid w:val="00B033EF"/>
    <w:rsid w:val="00B03B3C"/>
    <w:rsid w:val="00B07498"/>
    <w:rsid w:val="00B07B85"/>
    <w:rsid w:val="00B10117"/>
    <w:rsid w:val="00B114C3"/>
    <w:rsid w:val="00B1181F"/>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92E27"/>
    <w:rsid w:val="00B931D0"/>
    <w:rsid w:val="00B94EC5"/>
    <w:rsid w:val="00B95C0E"/>
    <w:rsid w:val="00BA0F1F"/>
    <w:rsid w:val="00BA2519"/>
    <w:rsid w:val="00BA43F1"/>
    <w:rsid w:val="00BA4DBE"/>
    <w:rsid w:val="00BA79DD"/>
    <w:rsid w:val="00BB05BD"/>
    <w:rsid w:val="00BC11EC"/>
    <w:rsid w:val="00BC1987"/>
    <w:rsid w:val="00BC434A"/>
    <w:rsid w:val="00BC6DEB"/>
    <w:rsid w:val="00BD1EA5"/>
    <w:rsid w:val="00BD24BE"/>
    <w:rsid w:val="00BD2981"/>
    <w:rsid w:val="00BD4231"/>
    <w:rsid w:val="00BD4919"/>
    <w:rsid w:val="00BD5F08"/>
    <w:rsid w:val="00BD6225"/>
    <w:rsid w:val="00BE0077"/>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30A9"/>
    <w:rsid w:val="00CB510F"/>
    <w:rsid w:val="00CB5CFF"/>
    <w:rsid w:val="00CB61D2"/>
    <w:rsid w:val="00CB6AF0"/>
    <w:rsid w:val="00CC122B"/>
    <w:rsid w:val="00CC2CC8"/>
    <w:rsid w:val="00CC44EF"/>
    <w:rsid w:val="00CC4DEA"/>
    <w:rsid w:val="00CC6CA5"/>
    <w:rsid w:val="00CC7069"/>
    <w:rsid w:val="00CD0E51"/>
    <w:rsid w:val="00CD11AE"/>
    <w:rsid w:val="00CD2620"/>
    <w:rsid w:val="00CD372F"/>
    <w:rsid w:val="00CD4C7B"/>
    <w:rsid w:val="00CD6C7B"/>
    <w:rsid w:val="00CE07A8"/>
    <w:rsid w:val="00CE0B08"/>
    <w:rsid w:val="00CE1F72"/>
    <w:rsid w:val="00CE2062"/>
    <w:rsid w:val="00CE270D"/>
    <w:rsid w:val="00CE3251"/>
    <w:rsid w:val="00CE3415"/>
    <w:rsid w:val="00CF0E38"/>
    <w:rsid w:val="00CF23EC"/>
    <w:rsid w:val="00CF23EE"/>
    <w:rsid w:val="00CF4536"/>
    <w:rsid w:val="00CF47EC"/>
    <w:rsid w:val="00CF5CB9"/>
    <w:rsid w:val="00CF6B19"/>
    <w:rsid w:val="00CF6FED"/>
    <w:rsid w:val="00D0010F"/>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52E4"/>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1CC8"/>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4B27"/>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14C"/>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DA6"/>
    <w:rsid w:val="00F37743"/>
    <w:rsid w:val="00F402FC"/>
    <w:rsid w:val="00F4160A"/>
    <w:rsid w:val="00F418AD"/>
    <w:rsid w:val="00F41BFB"/>
    <w:rsid w:val="00F41D6C"/>
    <w:rsid w:val="00F42D7E"/>
    <w:rsid w:val="00F43302"/>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005E"/>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7.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33</TotalTime>
  <Pages>1</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Continuation of the work on CHO with SCG configuration</vt:lpstr>
    </vt:vector>
  </TitlesOfParts>
  <Company>Nokia, Nokia Shanghai Bell</Company>
  <LinksUpToDate>false</LinksUpToDate>
  <CharactersWithSpaces>4649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CHO with SCG configuration kept at the target</dc:title>
  <dc:subject>3GPP RAN3 #115-e</dc:subject>
  <dc:creator>Benoist Sébire</dc:creator>
  <cp:keywords>&lt;keyword[, keyword, ]&gt;</cp:keywords>
  <dc:description/>
  <cp:lastModifiedBy>Nokia</cp:lastModifiedBy>
  <cp:revision>13</cp:revision>
  <cp:lastPrinted>2019-03-27T07:16:00Z</cp:lastPrinted>
  <dcterms:created xsi:type="dcterms:W3CDTF">2022-02-08T16:27:00Z</dcterms:created>
  <dcterms:modified xsi:type="dcterms:W3CDTF">2022-02-10T16:00:00Z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